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A9" w:rsidRPr="00F83476" w:rsidRDefault="005C6CA9" w:rsidP="005C6CA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</w:t>
      </w:r>
      <w:r w:rsidRPr="00F83476">
        <w:rPr>
          <w:rFonts w:ascii="Times New Roman" w:hAnsi="Times New Roman"/>
          <w:sz w:val="20"/>
        </w:rPr>
        <w:t>осударственное бюджетное специальное (коррекционное) образовательное учреждение</w:t>
      </w:r>
    </w:p>
    <w:p w:rsidR="005C6CA9" w:rsidRPr="00F83476" w:rsidRDefault="005C6CA9" w:rsidP="005C6C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83476">
        <w:rPr>
          <w:rFonts w:ascii="Times New Roman" w:hAnsi="Times New Roman"/>
          <w:sz w:val="20"/>
        </w:rPr>
        <w:t xml:space="preserve"> для обучающихся, воспитанников с ограниченными возможностями здоровья</w:t>
      </w:r>
    </w:p>
    <w:p w:rsidR="005C6CA9" w:rsidRPr="00F83476" w:rsidRDefault="005C6CA9" w:rsidP="005C6C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83476">
        <w:rPr>
          <w:rFonts w:ascii="Times New Roman" w:hAnsi="Times New Roman"/>
          <w:sz w:val="20"/>
        </w:rPr>
        <w:t xml:space="preserve"> специальная (коррекционная) общеобразовательная</w:t>
      </w:r>
    </w:p>
    <w:p w:rsidR="005C6CA9" w:rsidRPr="00F83476" w:rsidRDefault="005C6CA9" w:rsidP="005C6C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83476">
        <w:rPr>
          <w:rFonts w:ascii="Times New Roman" w:hAnsi="Times New Roman"/>
          <w:sz w:val="20"/>
        </w:rPr>
        <w:t xml:space="preserve"> школа-интернат № 1 имени К. К. Грота</w:t>
      </w:r>
    </w:p>
    <w:p w:rsidR="005C6CA9" w:rsidRPr="00F83476" w:rsidRDefault="005C6CA9" w:rsidP="005C6C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83476">
        <w:rPr>
          <w:rFonts w:ascii="Times New Roman" w:hAnsi="Times New Roman"/>
          <w:sz w:val="20"/>
        </w:rPr>
        <w:t>Красногвардейского района Санкт-Петербурга</w:t>
      </w: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Отчет</w:t>
      </w:r>
    </w:p>
    <w:p w:rsidR="005C6CA9" w:rsidRDefault="005C6CA9" w:rsidP="005C6CA9">
      <w:pPr>
        <w:spacing w:after="0" w:line="240" w:lineRule="auto"/>
        <w:jc w:val="center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 xml:space="preserve">о результатах </w:t>
      </w:r>
      <w:proofErr w:type="spellStart"/>
      <w:r>
        <w:rPr>
          <w:rFonts w:ascii="Times New Roman" w:hAnsi="Times New Roman"/>
          <w:i/>
          <w:sz w:val="36"/>
        </w:rPr>
        <w:t>самообследования</w:t>
      </w:r>
      <w:proofErr w:type="spellEnd"/>
    </w:p>
    <w:p w:rsidR="005C6CA9" w:rsidRPr="00C4029F" w:rsidRDefault="005C6CA9" w:rsidP="005C6CA9">
      <w:pPr>
        <w:spacing w:after="0" w:line="240" w:lineRule="auto"/>
        <w:jc w:val="center"/>
        <w:rPr>
          <w:rFonts w:ascii="Times New Roman" w:hAnsi="Times New Roman"/>
          <w:i/>
          <w:sz w:val="36"/>
        </w:rPr>
      </w:pPr>
      <w:r w:rsidRPr="00C4029F">
        <w:rPr>
          <w:rFonts w:ascii="Times New Roman" w:hAnsi="Times New Roman"/>
          <w:i/>
          <w:sz w:val="36"/>
        </w:rPr>
        <w:t>ГБ</w:t>
      </w:r>
      <w:proofErr w:type="gramStart"/>
      <w:r w:rsidRPr="00C4029F">
        <w:rPr>
          <w:rFonts w:ascii="Times New Roman" w:hAnsi="Times New Roman"/>
          <w:i/>
          <w:sz w:val="36"/>
        </w:rPr>
        <w:t>С(</w:t>
      </w:r>
      <w:proofErr w:type="gramEnd"/>
      <w:r w:rsidRPr="00C4029F">
        <w:rPr>
          <w:rFonts w:ascii="Times New Roman" w:hAnsi="Times New Roman"/>
          <w:i/>
          <w:sz w:val="36"/>
        </w:rPr>
        <w:t xml:space="preserve">К)ОУ школы-интерната № 1 им. </w:t>
      </w:r>
      <w:proofErr w:type="spellStart"/>
      <w:r w:rsidRPr="00C4029F">
        <w:rPr>
          <w:rFonts w:ascii="Times New Roman" w:hAnsi="Times New Roman"/>
          <w:i/>
          <w:sz w:val="36"/>
        </w:rPr>
        <w:t>К.К.Грота</w:t>
      </w:r>
      <w:proofErr w:type="spellEnd"/>
    </w:p>
    <w:p w:rsidR="005C6CA9" w:rsidRPr="00F83476" w:rsidRDefault="005C6CA9" w:rsidP="005C6CA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Pr="00F83476" w:rsidRDefault="005C6CA9" w:rsidP="005C6CA9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5C6CA9" w:rsidRDefault="005C6CA9" w:rsidP="005C6C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C6CA9" w:rsidRDefault="005C6CA9" w:rsidP="005C6C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Санкт-Петербург</w:t>
      </w:r>
    </w:p>
    <w:p w:rsidR="005C6CA9" w:rsidRPr="00F83476" w:rsidRDefault="005C6CA9" w:rsidP="005C6C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3476">
        <w:rPr>
          <w:rFonts w:ascii="Times New Roman" w:hAnsi="Times New Roman"/>
          <w:b/>
          <w:bCs/>
        </w:rPr>
        <w:t>201</w:t>
      </w:r>
      <w:r>
        <w:rPr>
          <w:rFonts w:ascii="Times New Roman" w:hAnsi="Times New Roman"/>
          <w:b/>
          <w:bCs/>
        </w:rPr>
        <w:t>5</w:t>
      </w:r>
      <w:r w:rsidRPr="00F83476">
        <w:rPr>
          <w:rFonts w:ascii="Times New Roman" w:hAnsi="Times New Roman"/>
          <w:b/>
          <w:bCs/>
        </w:rPr>
        <w:t xml:space="preserve">  г.</w:t>
      </w:r>
    </w:p>
    <w:p w:rsidR="005C6CA9" w:rsidRPr="00C4029F" w:rsidRDefault="005C6CA9" w:rsidP="005C6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29F">
        <w:rPr>
          <w:rFonts w:ascii="Times New Roman" w:hAnsi="Times New Roman"/>
          <w:b/>
          <w:sz w:val="24"/>
          <w:szCs w:val="24"/>
        </w:rPr>
        <w:lastRenderedPageBreak/>
        <w:t xml:space="preserve">Отчет о результатах </w:t>
      </w:r>
      <w:proofErr w:type="spellStart"/>
      <w:r w:rsidRPr="00C4029F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5C6CA9" w:rsidRDefault="005C6CA9" w:rsidP="005C6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29F">
        <w:rPr>
          <w:rFonts w:ascii="Times New Roman" w:hAnsi="Times New Roman"/>
          <w:b/>
          <w:sz w:val="24"/>
          <w:szCs w:val="24"/>
        </w:rPr>
        <w:t>ГБ</w:t>
      </w:r>
      <w:proofErr w:type="gramStart"/>
      <w:r w:rsidRPr="00C4029F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C4029F">
        <w:rPr>
          <w:rFonts w:ascii="Times New Roman" w:hAnsi="Times New Roman"/>
          <w:b/>
          <w:sz w:val="24"/>
          <w:szCs w:val="24"/>
        </w:rPr>
        <w:t xml:space="preserve">К)ОУ школы-интерната № 1 им. </w:t>
      </w:r>
      <w:proofErr w:type="spellStart"/>
      <w:r w:rsidRPr="00C4029F">
        <w:rPr>
          <w:rFonts w:ascii="Times New Roman" w:hAnsi="Times New Roman"/>
          <w:b/>
          <w:sz w:val="24"/>
          <w:szCs w:val="24"/>
        </w:rPr>
        <w:t>К.К.Грота</w:t>
      </w:r>
      <w:proofErr w:type="spellEnd"/>
    </w:p>
    <w:p w:rsidR="005C6CA9" w:rsidRPr="00C4029F" w:rsidRDefault="005C6CA9" w:rsidP="005C6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>Публичный отчёт директора школы-интерната №1 им. К.К. Грота А.В. Мухина  о деятельности   школы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1FFF">
        <w:rPr>
          <w:rFonts w:ascii="Times New Roman" w:hAnsi="Times New Roman"/>
          <w:sz w:val="24"/>
          <w:szCs w:val="24"/>
        </w:rPr>
        <w:t>за 2014-2015гг.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В связи с модернизацией образования одной из важнейших задач школы является повышение качества образовательных услуг и внедрение инновационных методов в процесс обучения. </w:t>
      </w:r>
      <w:proofErr w:type="gramStart"/>
      <w:r w:rsidRPr="00EE1FFF">
        <w:rPr>
          <w:rFonts w:ascii="Times New Roman" w:hAnsi="Times New Roman"/>
          <w:sz w:val="24"/>
          <w:szCs w:val="24"/>
        </w:rPr>
        <w:t>Для решения этих задач школа-интернат №1 им. К.К. Грота работает в режиме экспериментальной площадки городского уровня  по «Системе внедрения и реализации ФГОС второго поколения», развивает инновационную деятельность по работе с детьми со сложной патологией, развивает международную деятельность, что даёт возможность предоставлять качественные и своевременные  консультационные образовательные услуги, даёт школе конкурентоспособный  имидж и поддержку со стороны родителей.</w:t>
      </w:r>
      <w:proofErr w:type="gramEnd"/>
      <w:r w:rsidRPr="00EE1FFF">
        <w:rPr>
          <w:rFonts w:ascii="Times New Roman" w:hAnsi="Times New Roman"/>
          <w:sz w:val="24"/>
          <w:szCs w:val="24"/>
        </w:rPr>
        <w:t xml:space="preserve"> Это обеспечивается стабильным высокопрофессиональным коллективом педагогов и современной  постоянно обновляющейся материально-технической базой учреждения. За 2013-14 год на базе школы прошли 6 районных и городских семинаров педагогов, школа регулярно участвует в ярмарке инновационных продуктов, постоянно проходят телемосты и </w:t>
      </w:r>
      <w:proofErr w:type="spellStart"/>
      <w:r w:rsidRPr="00EE1FFF">
        <w:rPr>
          <w:rFonts w:ascii="Times New Roman" w:hAnsi="Times New Roman"/>
          <w:sz w:val="24"/>
          <w:szCs w:val="24"/>
        </w:rPr>
        <w:t>скайп</w:t>
      </w:r>
      <w:proofErr w:type="spellEnd"/>
      <w:r w:rsidRPr="00EE1FFF">
        <w:rPr>
          <w:rFonts w:ascii="Times New Roman" w:hAnsi="Times New Roman"/>
          <w:sz w:val="24"/>
          <w:szCs w:val="24"/>
        </w:rPr>
        <w:t>-конференции,  школа за истекший период провела 3 всероссийские конференции педагогов, принимала участие в 4 международных семинарах.  Интерес к школе и к её деятельности подтверждается ещё и тем, что за последний год увеличилось количество социальных партнёров школы, в том числе и международных.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>Сейчас учреждение работает над программой развития до 2015 года в рамках Стратегии «Петербургская школа 2020» , учитывая коррекционно-развивающую направленность нашего образовательного процесса.  Коллектив ищет новые подходы к социально-реабилитационной работе и к созданию модели непрерывной комплексной адаптации и реабилитации слепых и  слабовидящих учащихся, что включает ряд основных направлений: учебно-образовательный процесс; коррекционно-развивающий, воспитательный и  социально-реабилитационный процесс.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 В 2013 году результаты сдачи ЕГЭ выпускниками школы превысили средние результаты по Санкт-Петербургу. Но мы и дальше будем работать над ростом этих показателей. Английский в школе-интернате преподаётся со второго класса. А с 2011 г. школа включилась в международный проект «Равные возможности», реализуемый  с целью повышения квалификации педагогов и уровня преподавания английского языка для детей с глубоким нарушением зрения. В   педагоги английского языка школы  проходили двухнедельную стажировку в США. Школой совместно с Центральным Университетом штата Флорида (США) в рамках российско-американского диалога выиграла  грант от Правительства США на реализацию в 2015 г совместного проекта. В рамках этого проекта группа учеников школы и студентов университета регулярно проводят </w:t>
      </w:r>
      <w:proofErr w:type="spellStart"/>
      <w:r w:rsidRPr="00EE1FFF">
        <w:rPr>
          <w:rFonts w:ascii="Times New Roman" w:hAnsi="Times New Roman"/>
          <w:sz w:val="24"/>
          <w:szCs w:val="24"/>
        </w:rPr>
        <w:t>скайп</w:t>
      </w:r>
      <w:proofErr w:type="spellEnd"/>
      <w:r w:rsidRPr="00EE1FFF">
        <w:rPr>
          <w:rFonts w:ascii="Times New Roman" w:hAnsi="Times New Roman"/>
          <w:sz w:val="24"/>
          <w:szCs w:val="24"/>
        </w:rPr>
        <w:t xml:space="preserve">-конференции, участвуют в </w:t>
      </w:r>
      <w:proofErr w:type="gramStart"/>
      <w:r w:rsidRPr="00EE1FFF">
        <w:rPr>
          <w:rFonts w:ascii="Times New Roman" w:hAnsi="Times New Roman"/>
          <w:sz w:val="24"/>
          <w:szCs w:val="24"/>
        </w:rPr>
        <w:t>интернет-форумах</w:t>
      </w:r>
      <w:proofErr w:type="gramEnd"/>
      <w:r w:rsidRPr="00EE1FFF">
        <w:rPr>
          <w:rFonts w:ascii="Times New Roman" w:hAnsi="Times New Roman"/>
          <w:sz w:val="24"/>
          <w:szCs w:val="24"/>
        </w:rPr>
        <w:t xml:space="preserve"> и в мае 2015г. школа будет принимать группу американских студентов и педагогов. 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По итогам конкурса FLEX, программа обмена старшеклассниками, Сухова Дарья с августа 2014г по июнь 2015г. бесплатно обучается в американской школе, совершенствуя свои знания по английскому языку. 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  Школа планомерно продолжает развивать и преумножать  международные связи, перенимая опыт педагогов Германии, США, Финляндии, Польши, тем самым  расширяя кругозор и своих учеников. Продолжается реализация проекта с образовательным холдингом «</w:t>
      </w:r>
      <w:proofErr w:type="spellStart"/>
      <w:r w:rsidRPr="00EE1FFF">
        <w:rPr>
          <w:rFonts w:ascii="Times New Roman" w:hAnsi="Times New Roman"/>
          <w:sz w:val="24"/>
          <w:szCs w:val="24"/>
        </w:rPr>
        <w:t>Николауспфлеге</w:t>
      </w:r>
      <w:proofErr w:type="spellEnd"/>
      <w:proofErr w:type="gramStart"/>
      <w:r w:rsidRPr="00EE1FFF">
        <w:rPr>
          <w:rFonts w:ascii="Times New Roman" w:hAnsi="Times New Roman"/>
          <w:sz w:val="24"/>
          <w:szCs w:val="24"/>
        </w:rPr>
        <w:t>»(</w:t>
      </w:r>
      <w:proofErr w:type="spellStart"/>
      <w:proofErr w:type="gramEnd"/>
      <w:r w:rsidRPr="00EE1FFF">
        <w:rPr>
          <w:rFonts w:ascii="Times New Roman" w:hAnsi="Times New Roman"/>
          <w:sz w:val="24"/>
          <w:szCs w:val="24"/>
        </w:rPr>
        <w:t>Штудтгардт</w:t>
      </w:r>
      <w:proofErr w:type="spellEnd"/>
      <w:r w:rsidRPr="00EE1FFF">
        <w:rPr>
          <w:rFonts w:ascii="Times New Roman" w:hAnsi="Times New Roman"/>
          <w:sz w:val="24"/>
          <w:szCs w:val="24"/>
        </w:rPr>
        <w:t xml:space="preserve">, Германия), в рамках которого группа педагогов школы посетила в июне 2014г. Германию. 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Группа учеников и педагогов школы в октябре 2014 г. посетила польскую гимназию им. Й. Пилсудского (г. </w:t>
      </w:r>
      <w:proofErr w:type="spellStart"/>
      <w:r w:rsidRPr="00EE1FFF">
        <w:rPr>
          <w:rFonts w:ascii="Times New Roman" w:hAnsi="Times New Roman"/>
          <w:sz w:val="24"/>
          <w:szCs w:val="24"/>
        </w:rPr>
        <w:t>Катовицы</w:t>
      </w:r>
      <w:proofErr w:type="spellEnd"/>
      <w:r w:rsidRPr="00EE1FFF">
        <w:rPr>
          <w:rFonts w:ascii="Times New Roman" w:hAnsi="Times New Roman"/>
          <w:sz w:val="24"/>
          <w:szCs w:val="24"/>
        </w:rPr>
        <w:t xml:space="preserve">). Заместитель директора школы по дополнительному образованию Плеханова Н.А.  приняла участие в Международном семинаре по обучению и воспитанию детей с проблемами зрения, который состоялся  в сентябре 2014г в Польше. </w:t>
      </w:r>
      <w:proofErr w:type="gramStart"/>
      <w:r w:rsidRPr="00EE1FFF">
        <w:rPr>
          <w:rFonts w:ascii="Times New Roman" w:hAnsi="Times New Roman"/>
          <w:sz w:val="24"/>
          <w:szCs w:val="24"/>
        </w:rPr>
        <w:t>Ученица 11А класса Полина Федотова, став в мае 2014г. дипломантом российского тура международного вокального конкурса «Мы эхо друг друга», посвящённого памяти А. Герман, в составе 10 лучших российский молодых исполнителей принимала участие в финале конкурса, который проходил в ноябре 2014г. в Варшаве.</w:t>
      </w:r>
      <w:proofErr w:type="gramEnd"/>
      <w:r w:rsidRPr="00EE1FFF">
        <w:rPr>
          <w:rFonts w:ascii="Times New Roman" w:hAnsi="Times New Roman"/>
          <w:sz w:val="24"/>
          <w:szCs w:val="24"/>
        </w:rPr>
        <w:t xml:space="preserve"> Школа получила благодарственное письмо от Лиги Польских женщин и от Председателя союза российских женщин</w:t>
      </w:r>
      <w:proofErr w:type="gramStart"/>
      <w:r w:rsidRPr="00EE1FF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lastRenderedPageBreak/>
        <w:t xml:space="preserve">В октябре 2014г. школа принимала учащихся немецкой гимназии им. К. </w:t>
      </w:r>
      <w:proofErr w:type="spellStart"/>
      <w:r w:rsidRPr="00EE1FFF">
        <w:rPr>
          <w:rFonts w:ascii="Times New Roman" w:hAnsi="Times New Roman"/>
          <w:sz w:val="24"/>
          <w:szCs w:val="24"/>
        </w:rPr>
        <w:t>Штреля</w:t>
      </w:r>
      <w:proofErr w:type="spellEnd"/>
      <w:r w:rsidRPr="00EE1FFF">
        <w:rPr>
          <w:rFonts w:ascii="Times New Roman" w:hAnsi="Times New Roman"/>
          <w:sz w:val="24"/>
          <w:szCs w:val="24"/>
        </w:rPr>
        <w:t xml:space="preserve"> (Марбург, Германия) и была принята первым заместителем главы администрации Красногвардейского района Санкт-Петербурга, визит немецких партнёров широко освещался районными  и городскими СМИ,  а в апреле группа из 6 детей и педагогов школы посетила с ответным визитом немецких партнёров.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С 2013г. началась и продолжается реализация российско-финского проекта, в рамках которого ученики школы на благотворительной основе посещают оздоровительно-развлекательный комплекс «Сириус». 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>В марте 2015г. школа проводила на своей базе международною российско-эстонскую конференцию</w:t>
      </w:r>
      <w:proofErr w:type="gramStart"/>
      <w:r w:rsidRPr="00EE1F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1FFF">
        <w:rPr>
          <w:rFonts w:ascii="Times New Roman" w:hAnsi="Times New Roman"/>
          <w:sz w:val="24"/>
          <w:szCs w:val="24"/>
        </w:rPr>
        <w:t xml:space="preserve"> в апреле участвовала в международной конференции «Великое </w:t>
      </w:r>
      <w:proofErr w:type="spellStart"/>
      <w:r w:rsidRPr="00EE1FFF">
        <w:rPr>
          <w:rFonts w:ascii="Times New Roman" w:hAnsi="Times New Roman"/>
          <w:sz w:val="24"/>
          <w:szCs w:val="24"/>
        </w:rPr>
        <w:t>шеститочие</w:t>
      </w:r>
      <w:proofErr w:type="spellEnd"/>
      <w:r w:rsidRPr="00EE1FFF">
        <w:rPr>
          <w:rFonts w:ascii="Times New Roman" w:hAnsi="Times New Roman"/>
          <w:sz w:val="24"/>
          <w:szCs w:val="24"/>
        </w:rPr>
        <w:t>», посвящённой 205-летию со дня рождения Луи Брайля.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Все ученики школы по согласованию с медицинскими работниками имеют возможность бесплатно посещать бассейн, что обеспечивает высокие призовые показатели на соревнованиях городского и всероссийского уровня. Так команда школы по плаванью в четвёртый раз завоевала переходящий кубок Спартакиады для инвалидов по зрению. Ученик 8А класса Кирилл Белоусов был приглашён </w:t>
      </w:r>
      <w:proofErr w:type="gramStart"/>
      <w:r w:rsidRPr="00EE1FFF">
        <w:rPr>
          <w:rFonts w:ascii="Times New Roman" w:hAnsi="Times New Roman"/>
          <w:sz w:val="24"/>
          <w:szCs w:val="24"/>
        </w:rPr>
        <w:t>в состав сборной России по плаванию для участия во всемирных играх слепых в Корее</w:t>
      </w:r>
      <w:proofErr w:type="gramEnd"/>
      <w:r w:rsidRPr="00EE1FFF">
        <w:rPr>
          <w:rFonts w:ascii="Times New Roman" w:hAnsi="Times New Roman"/>
          <w:sz w:val="24"/>
          <w:szCs w:val="24"/>
        </w:rPr>
        <w:t>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>В апреле 2015 года состоялся седьмой выпуск учащихся, закончивших 3-летнюю образовательную программу в рамках  проекта «Прошлое на кончиках пальцев», реализуемого школой совместно с Государственным музеем Эрмитаж с 2006 года. С 2013г. в рамках совместного партнёрства начались и продолжаются  занятия учеников школы на базе Этнографического музея.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>В феврале 2015г прошёл IV школьный фестиваль патриотической песни, посвящённый 70-летию Победы, в котором приняли участие все классы школы.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Школа участвовала в </w:t>
      </w:r>
      <w:proofErr w:type="gramStart"/>
      <w:r w:rsidRPr="00EE1FFF">
        <w:rPr>
          <w:rFonts w:ascii="Times New Roman" w:hAnsi="Times New Roman"/>
          <w:sz w:val="24"/>
          <w:szCs w:val="24"/>
        </w:rPr>
        <w:t>районный</w:t>
      </w:r>
      <w:proofErr w:type="gramEnd"/>
      <w:r w:rsidRPr="00EE1FFF">
        <w:rPr>
          <w:rFonts w:ascii="Times New Roman" w:hAnsi="Times New Roman"/>
          <w:sz w:val="24"/>
          <w:szCs w:val="24"/>
        </w:rPr>
        <w:t xml:space="preserve"> и городских конкурсах детского творчества: «Вера. Надежда. Любовь» (гран-при), «Наши звёздочки» </w:t>
      </w:r>
      <w:proofErr w:type="gramStart"/>
      <w:r w:rsidRPr="00EE1F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E1FFF">
        <w:rPr>
          <w:rFonts w:ascii="Times New Roman" w:hAnsi="Times New Roman"/>
          <w:sz w:val="24"/>
          <w:szCs w:val="24"/>
        </w:rPr>
        <w:t xml:space="preserve">гран-при, 4 первых места, 5 вторых, 3 </w:t>
      </w:r>
      <w:proofErr w:type="spellStart"/>
      <w:r w:rsidRPr="00EE1FFF">
        <w:rPr>
          <w:rFonts w:ascii="Times New Roman" w:hAnsi="Times New Roman"/>
          <w:sz w:val="24"/>
          <w:szCs w:val="24"/>
        </w:rPr>
        <w:t>третих</w:t>
      </w:r>
      <w:proofErr w:type="spellEnd"/>
      <w:r w:rsidRPr="00EE1FFF">
        <w:rPr>
          <w:rFonts w:ascii="Times New Roman" w:hAnsi="Times New Roman"/>
          <w:sz w:val="24"/>
          <w:szCs w:val="24"/>
        </w:rPr>
        <w:t xml:space="preserve"> и специальные призы), «Дети многонационального Петербурга» (2 лауреата), первый региональный фестиваль бардовской песни (гран-при), VII смотр-конкурс «Равные права» (1 место). 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>Деятельность ОДОД школы по результатам 2014г. была признана лучшей в Красногвардейском районе.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При финансовой поддержке администрации Красногвардейского района в 2015г. был приобретён грузовой </w:t>
      </w:r>
      <w:proofErr w:type="gramStart"/>
      <w:r w:rsidRPr="00EE1FFF">
        <w:rPr>
          <w:rFonts w:ascii="Times New Roman" w:hAnsi="Times New Roman"/>
          <w:sz w:val="24"/>
          <w:szCs w:val="24"/>
        </w:rPr>
        <w:t>микро автобус</w:t>
      </w:r>
      <w:proofErr w:type="gramEnd"/>
      <w:r w:rsidRPr="00EE1FFF">
        <w:rPr>
          <w:rFonts w:ascii="Times New Roman" w:hAnsi="Times New Roman"/>
          <w:sz w:val="24"/>
          <w:szCs w:val="24"/>
        </w:rPr>
        <w:t>.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 Новизна сегодняшней деятельности Попечительского совета на базе школы-интерната №1 им. К.К. Грота, действующего с 2008г., состоит в том, что граждан приглашают не сдавать пожертвования – им предлагают стать представителями общества, с которыми педагогическое сообщество школы заключает общественно-образовательный договор (Положение о Попечительском совете). Попечители  принимают  активное участие в согласовании школьного бюджета, в подготовке и переподготовке кадров, в выборе приоритетов развития образовательного учреждения. И таким образом Попечительский совет формулирует социальный заказ  нашему образовательному учреждению в соответствии с потребностями рынка труда и тем самым определяет перспективы развития школы и является механизмом формирующейся в государстве системы государственно-общественного управления образованием.     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E1FFF">
        <w:rPr>
          <w:rFonts w:ascii="Times New Roman" w:hAnsi="Times New Roman"/>
          <w:sz w:val="24"/>
          <w:szCs w:val="24"/>
        </w:rPr>
        <w:t xml:space="preserve">Подводя итоги, хочется сказать, что анализ деятельности школы-интерната №1 им. К.К. Грота за 2014-2015 гг. дает основания для оптимизма и высокой степени удовлетворённости  состоянием организации учебного процесса, содержательным наполнением образовательных программ, высоким профессионализмом преподавателей, уровнем качества образования и достигаемых результатов, благоприятной атмосферой творчества и доброжелательности, комфортными условиями и обеспечением безопасности. </w:t>
      </w:r>
      <w:proofErr w:type="gramEnd"/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t xml:space="preserve"> В максимальной степени успешность и конкурентоспособность школы как одного из общепризнанных лидеров коррекционного образования не только Санкт-Петербурга</w:t>
      </w:r>
      <w:proofErr w:type="gramStart"/>
      <w:r w:rsidRPr="00EE1F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1FFF">
        <w:rPr>
          <w:rFonts w:ascii="Times New Roman" w:hAnsi="Times New Roman"/>
          <w:sz w:val="24"/>
          <w:szCs w:val="24"/>
        </w:rPr>
        <w:t xml:space="preserve"> но и России  обеспечивается качеством материально-технического обеспечения школы, кадровым составом учреждения, высоким уровнем профессиональных компетентностей специалистов, ориентацией на инициативные и инновационные  формы ведения образовательного, коррекционного и воспитательного процесса, культурно-просветительской и социально-педагогической работы. </w:t>
      </w:r>
    </w:p>
    <w:p w:rsidR="005C6CA9" w:rsidRPr="00EE1FFF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FF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EE1FFF">
        <w:rPr>
          <w:rFonts w:ascii="Times New Roman" w:hAnsi="Times New Roman"/>
          <w:sz w:val="24"/>
          <w:szCs w:val="24"/>
        </w:rPr>
        <w:t xml:space="preserve">Полученные данные позволяют сделать общий вывод о том, что школа-интернат №1 им. К.К. Грота работает в полном соответствии с основными </w:t>
      </w:r>
      <w:proofErr w:type="spellStart"/>
      <w:r w:rsidRPr="00EE1FFF">
        <w:rPr>
          <w:rFonts w:ascii="Times New Roman" w:hAnsi="Times New Roman"/>
          <w:sz w:val="24"/>
          <w:szCs w:val="24"/>
        </w:rPr>
        <w:t>задачно</w:t>
      </w:r>
      <w:proofErr w:type="spellEnd"/>
      <w:r w:rsidRPr="00EE1FFF">
        <w:rPr>
          <w:rFonts w:ascii="Times New Roman" w:hAnsi="Times New Roman"/>
          <w:sz w:val="24"/>
          <w:szCs w:val="24"/>
        </w:rPr>
        <w:t>-целевыми установками  своей Программы развития на 2010-2015 гг., адекватными интересам и потребностям детей с проблемами зрения  и их родителей, а также целям, задачам, приоритетным направлениям нового закона «Об Образовании РФ» 2013г.</w:t>
      </w:r>
      <w:proofErr w:type="gramEnd"/>
    </w:p>
    <w:p w:rsidR="005C6CA9" w:rsidRPr="008751DB" w:rsidRDefault="005C6CA9" w:rsidP="005C6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FFF">
        <w:rPr>
          <w:rFonts w:ascii="Times New Roman" w:hAnsi="Times New Roman"/>
          <w:sz w:val="24"/>
          <w:szCs w:val="24"/>
        </w:rPr>
        <w:t>Однако даже при высоких рейтинговых баллах базовых компонентов функционирования школы-интерната №1 им. К.К. Грота, при достаточно объективном «рейтинговом благополучии» есть возможность и целесообразность выявления резервов развития  и совершенствования образовательного и воспитательного процессов, совершенствования организационно - управленческого механизма, привлечения всё большего количества социальных партнёров,  благодаря участию которых в жизни и деятельности школы дети с проблемами зрения успешнее проходят процесс социализации и адаптации в обществе. Жизнь не стоит на месте: новые условия, новые требования, новые предписания власти и ожидания социума обусловливают активизацию поиска путей и форм оптимизации жизнедеятельности школьного сообщества.</w:t>
      </w:r>
      <w:r w:rsidRPr="0007386A">
        <w:rPr>
          <w:sz w:val="28"/>
          <w:szCs w:val="28"/>
        </w:rPr>
        <w:t xml:space="preserve"> </w:t>
      </w:r>
      <w:r w:rsidRPr="0007386A">
        <w:rPr>
          <w:sz w:val="28"/>
          <w:szCs w:val="28"/>
        </w:rPr>
        <w:cr/>
      </w:r>
    </w:p>
    <w:p w:rsidR="005C6CA9" w:rsidRDefault="005C6CA9" w:rsidP="00A06879">
      <w:pPr>
        <w:widowControl w:val="0"/>
        <w:tabs>
          <w:tab w:val="left" w:pos="841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C6CA9" w:rsidRDefault="005C6C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7661D" w:rsidRPr="005C6CA9" w:rsidRDefault="0097661D" w:rsidP="00A06879">
      <w:pPr>
        <w:widowControl w:val="0"/>
        <w:tabs>
          <w:tab w:val="left" w:pos="84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C6CA9">
        <w:rPr>
          <w:rFonts w:ascii="Times New Roman" w:hAnsi="Times New Roman"/>
          <w:b/>
          <w:sz w:val="26"/>
          <w:szCs w:val="26"/>
        </w:rPr>
        <w:lastRenderedPageBreak/>
        <w:t>Показатели</w:t>
      </w:r>
    </w:p>
    <w:p w:rsidR="0097661D" w:rsidRPr="005C6CA9" w:rsidRDefault="00305AD2" w:rsidP="008109DC">
      <w:pPr>
        <w:widowControl w:val="0"/>
        <w:tabs>
          <w:tab w:val="left" w:pos="84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C6CA9">
        <w:rPr>
          <w:rFonts w:ascii="Times New Roman" w:hAnsi="Times New Roman"/>
          <w:b/>
          <w:sz w:val="26"/>
          <w:szCs w:val="26"/>
        </w:rPr>
        <w:t>деятельности Ш</w:t>
      </w:r>
      <w:r w:rsidR="0097661D" w:rsidRPr="005C6CA9">
        <w:rPr>
          <w:rFonts w:ascii="Times New Roman" w:hAnsi="Times New Roman"/>
          <w:b/>
          <w:sz w:val="26"/>
          <w:szCs w:val="26"/>
        </w:rPr>
        <w:t>колы-интерната</w:t>
      </w:r>
    </w:p>
    <w:p w:rsidR="0097661D" w:rsidRPr="0045378D" w:rsidRDefault="0097661D" w:rsidP="00A06879">
      <w:pPr>
        <w:widowControl w:val="0"/>
        <w:tabs>
          <w:tab w:val="left" w:pos="841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9013"/>
        <w:gridCol w:w="1202"/>
      </w:tblGrid>
      <w:tr w:rsidR="0097661D" w:rsidRPr="0041458B" w:rsidTr="005C6CA9">
        <w:trPr>
          <w:trHeight w:hRule="exact" w:val="571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Показатели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Единица</w:t>
            </w:r>
          </w:p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измерения</w:t>
            </w:r>
          </w:p>
        </w:tc>
      </w:tr>
      <w:tr w:rsidR="0097661D" w:rsidRPr="0041458B" w:rsidTr="005C6CA9">
        <w:trPr>
          <w:trHeight w:hRule="exact" w:val="28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В</w:t>
            </w:r>
          </w:p>
        </w:tc>
      </w:tr>
      <w:tr w:rsidR="00B34B99" w:rsidRPr="0041458B" w:rsidTr="005C6CA9">
        <w:trPr>
          <w:trHeight w:hRule="exact" w:val="485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34B99" w:rsidRPr="0041458B" w:rsidRDefault="00B34B99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458B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1. </w:t>
            </w:r>
            <w:r w:rsidRPr="0041458B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  <w:u w:val="single"/>
                <w:shd w:val="clear" w:color="auto" w:fill="FFFFFF"/>
              </w:rPr>
              <w:t>Общие сведения об общеобразовательной организации</w:t>
            </w:r>
          </w:p>
        </w:tc>
      </w:tr>
      <w:tr w:rsidR="0097661D" w:rsidRPr="0041458B" w:rsidTr="00911E4D">
        <w:trPr>
          <w:trHeight w:hRule="exact" w:val="1022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  <w:p w:rsidR="006109D5" w:rsidRPr="0041458B" w:rsidRDefault="006109D5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Комитет по образованию Санкт-Петербурга</w:t>
            </w:r>
            <w:r w:rsidR="00D01FB7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, № 1037 от 06.06.2012г., бланк  78 № 002368, с 06.06.2012г. бессрочно.</w:t>
            </w:r>
          </w:p>
          <w:p w:rsidR="006109D5" w:rsidRPr="0041458B" w:rsidRDefault="006109D5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661D" w:rsidRPr="0041458B" w:rsidTr="00911E4D">
        <w:trPr>
          <w:trHeight w:hRule="exact" w:val="1189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  <w:p w:rsidR="00D01FB7" w:rsidRPr="0041458B" w:rsidRDefault="00D01FB7" w:rsidP="00D01FB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Комитет по образованию Санкт-Петербурга №386 от 27.05.2013г., серия  78А 01 № 0000376, с 27.05.2013г. до 27.05.2025г.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661D" w:rsidRPr="0041458B" w:rsidTr="005C6CA9">
        <w:trPr>
          <w:trHeight w:hRule="exact" w:val="555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4300" w:type="pct"/>
            <w:shd w:val="clear" w:color="auto" w:fill="FFFFFF"/>
          </w:tcPr>
          <w:p w:rsidR="006109D5" w:rsidRPr="0041458B" w:rsidRDefault="0097661D" w:rsidP="0041458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Общая численность учащихся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41458B" w:rsidP="00D958FA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</w:t>
            </w:r>
            <w:r w:rsidR="00D958FA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19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97661D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чел.</w:t>
            </w:r>
          </w:p>
        </w:tc>
      </w:tr>
      <w:tr w:rsidR="0097661D" w:rsidRPr="0041458B" w:rsidTr="005C6CA9">
        <w:trPr>
          <w:trHeight w:hRule="exact" w:val="2846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1.4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Реализуемые образовательные программы в соответствии с лицензией (перечислить)</w:t>
            </w:r>
          </w:p>
          <w:p w:rsidR="00D01FB7" w:rsidRPr="0041458B" w:rsidRDefault="00D01FB7" w:rsidP="00D01FB7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sz w:val="20"/>
                <w:szCs w:val="20"/>
              </w:rPr>
              <w:t>Основные:</w:t>
            </w:r>
          </w:p>
          <w:p w:rsidR="00D01FB7" w:rsidRPr="0041458B" w:rsidRDefault="00A04A42" w:rsidP="00A04A4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sz w:val="20"/>
                <w:szCs w:val="20"/>
              </w:rPr>
              <w:t>-</w:t>
            </w:r>
            <w:r w:rsidR="00D01FB7" w:rsidRPr="0041458B">
              <w:rPr>
                <w:rFonts w:ascii="Times New Roman" w:hAnsi="Times New Roman"/>
                <w:sz w:val="20"/>
                <w:szCs w:val="20"/>
              </w:rPr>
              <w:t>Начальное общее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A32" w:rsidRPr="0041458B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>коррекционно-развивающей направленности для детей с ОВЗ (</w:t>
            </w:r>
            <w:r w:rsidRPr="0041458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458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458B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 вид)</w:t>
            </w:r>
          </w:p>
          <w:p w:rsidR="00D01FB7" w:rsidRPr="0041458B" w:rsidRDefault="00A04A42" w:rsidP="00A04A4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sz w:val="20"/>
                <w:szCs w:val="20"/>
              </w:rPr>
              <w:t>-</w:t>
            </w:r>
            <w:r w:rsidR="00D01FB7" w:rsidRPr="0041458B">
              <w:rPr>
                <w:rFonts w:ascii="Times New Roman" w:hAnsi="Times New Roman"/>
                <w:sz w:val="20"/>
                <w:szCs w:val="20"/>
              </w:rPr>
              <w:t>Основное общее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A32" w:rsidRPr="0041458B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>коррекционно-развивающей направленности для детей с ОВЗ (</w:t>
            </w:r>
            <w:r w:rsidRPr="0041458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458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458B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 вид)</w:t>
            </w:r>
          </w:p>
          <w:p w:rsidR="00A04A42" w:rsidRPr="0041458B" w:rsidRDefault="00A04A42" w:rsidP="00A04A4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sz w:val="20"/>
                <w:szCs w:val="20"/>
              </w:rPr>
              <w:t xml:space="preserve">-Среднее (полное) общее </w:t>
            </w:r>
            <w:r w:rsidR="00C06A32" w:rsidRPr="0041458B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>коррекционно-развивающей направленности для детей с ОВЗ (</w:t>
            </w:r>
            <w:r w:rsidRPr="0041458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458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 вид)</w:t>
            </w:r>
          </w:p>
          <w:p w:rsidR="00D01FB7" w:rsidRPr="0041458B" w:rsidRDefault="00D01FB7" w:rsidP="00A04A4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A42" w:rsidRPr="00244F7E" w:rsidRDefault="00A04A42" w:rsidP="00C06A32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F7E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:rsidR="00C06A32" w:rsidRPr="00244F7E" w:rsidRDefault="00C06A32" w:rsidP="00C06A3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F7E">
              <w:rPr>
                <w:rFonts w:ascii="Times New Roman" w:hAnsi="Times New Roman"/>
                <w:sz w:val="20"/>
                <w:szCs w:val="20"/>
              </w:rPr>
              <w:t>- художественно-эстетическая направленность</w:t>
            </w:r>
          </w:p>
          <w:p w:rsidR="00C06A32" w:rsidRPr="00244F7E" w:rsidRDefault="00C06A32" w:rsidP="00C06A3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F7E">
              <w:rPr>
                <w:rFonts w:ascii="Times New Roman" w:hAnsi="Times New Roman"/>
                <w:sz w:val="20"/>
                <w:szCs w:val="20"/>
              </w:rPr>
              <w:t>- туристско-краеведческая направленность</w:t>
            </w:r>
          </w:p>
          <w:p w:rsidR="00C06A32" w:rsidRPr="00244F7E" w:rsidRDefault="00C06A32" w:rsidP="00C06A3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F7E">
              <w:rPr>
                <w:rFonts w:ascii="Times New Roman" w:hAnsi="Times New Roman"/>
                <w:sz w:val="20"/>
                <w:szCs w:val="20"/>
              </w:rPr>
              <w:t>- физкультурно-спортивная направленность</w:t>
            </w:r>
          </w:p>
          <w:p w:rsidR="00C06A32" w:rsidRPr="00244F7E" w:rsidRDefault="00C06A32" w:rsidP="00C06A3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F7E">
              <w:rPr>
                <w:rFonts w:ascii="Times New Roman" w:hAnsi="Times New Roman"/>
                <w:sz w:val="20"/>
                <w:szCs w:val="20"/>
              </w:rPr>
              <w:t>- научно-техническая направленность</w:t>
            </w:r>
          </w:p>
          <w:p w:rsidR="00C06A32" w:rsidRPr="0041458B" w:rsidRDefault="00C06A32" w:rsidP="00C06A32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F7E">
              <w:rPr>
                <w:rFonts w:ascii="Times New Roman" w:hAnsi="Times New Roman"/>
                <w:sz w:val="20"/>
                <w:szCs w:val="20"/>
              </w:rPr>
              <w:t>- социально-педагогическая направленность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661D" w:rsidRPr="0041458B" w:rsidTr="005C6CA9">
        <w:trPr>
          <w:trHeight w:hRule="exact" w:val="1420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1.5</w:t>
            </w:r>
          </w:p>
        </w:tc>
        <w:tc>
          <w:tcPr>
            <w:tcW w:w="4300" w:type="pct"/>
            <w:shd w:val="clear" w:color="auto" w:fill="FFFFFF"/>
          </w:tcPr>
          <w:p w:rsidR="00C06A32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учащихся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  <w:p w:rsidR="00C06A32" w:rsidRPr="0041458B" w:rsidRDefault="00C06A32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- </w:t>
            </w:r>
            <w:r w:rsidRPr="0041458B">
              <w:rPr>
                <w:rFonts w:ascii="Times New Roman" w:hAnsi="Times New Roman"/>
                <w:sz w:val="20"/>
                <w:szCs w:val="20"/>
              </w:rPr>
              <w:t xml:space="preserve">Начальное общее образование – </w:t>
            </w:r>
            <w:r w:rsidR="00851E3F">
              <w:rPr>
                <w:rFonts w:ascii="Times New Roman" w:hAnsi="Times New Roman"/>
                <w:sz w:val="20"/>
                <w:szCs w:val="20"/>
              </w:rPr>
              <w:t>133 чел./41,7%</w:t>
            </w:r>
          </w:p>
          <w:p w:rsidR="00C06A32" w:rsidRPr="0041458B" w:rsidRDefault="00C06A32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sz w:val="20"/>
                <w:szCs w:val="20"/>
              </w:rPr>
              <w:t xml:space="preserve">- Основное общее образование – </w:t>
            </w:r>
            <w:r w:rsidR="00851E3F">
              <w:rPr>
                <w:rFonts w:ascii="Times New Roman" w:hAnsi="Times New Roman"/>
                <w:sz w:val="20"/>
                <w:szCs w:val="20"/>
              </w:rPr>
              <w:t>176 чел./55,1%</w:t>
            </w:r>
          </w:p>
          <w:p w:rsidR="00C06A32" w:rsidRPr="0041458B" w:rsidRDefault="00C06A32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sz w:val="20"/>
                <w:szCs w:val="20"/>
              </w:rPr>
              <w:t>- Среднее</w:t>
            </w:r>
            <w:r w:rsidR="00851E3F">
              <w:rPr>
                <w:rFonts w:ascii="Times New Roman" w:hAnsi="Times New Roman"/>
                <w:sz w:val="20"/>
                <w:szCs w:val="20"/>
              </w:rPr>
              <w:t xml:space="preserve"> (полное) общее образование - 10 чел./31,2%</w:t>
            </w:r>
          </w:p>
        </w:tc>
        <w:tc>
          <w:tcPr>
            <w:tcW w:w="443" w:type="pct"/>
            <w:shd w:val="clear" w:color="auto" w:fill="auto"/>
          </w:tcPr>
          <w:p w:rsidR="0097661D" w:rsidRPr="00D958FA" w:rsidRDefault="0097661D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 w:rsidRPr="00D958FA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чел./%</w:t>
            </w:r>
          </w:p>
        </w:tc>
      </w:tr>
      <w:tr w:rsidR="0097661D" w:rsidRPr="0041458B" w:rsidTr="005C6CA9">
        <w:trPr>
          <w:trHeight w:hRule="exact" w:val="288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1.6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8B58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учащихся по программам углубленного изучения отдельных предметов</w:t>
            </w:r>
          </w:p>
        </w:tc>
        <w:tc>
          <w:tcPr>
            <w:tcW w:w="443" w:type="pct"/>
            <w:shd w:val="clear" w:color="auto" w:fill="auto"/>
          </w:tcPr>
          <w:p w:rsidR="0097661D" w:rsidRPr="00D958FA" w:rsidRDefault="0097661D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 w:rsidRPr="00D958FA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чел./%</w:t>
            </w:r>
          </w:p>
        </w:tc>
      </w:tr>
      <w:tr w:rsidR="0097661D" w:rsidRPr="0041458B" w:rsidTr="005C6CA9">
        <w:trPr>
          <w:trHeight w:hRule="exact" w:val="28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1.7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учащихся по программам профильного обучения</w:t>
            </w:r>
          </w:p>
        </w:tc>
        <w:tc>
          <w:tcPr>
            <w:tcW w:w="443" w:type="pct"/>
            <w:shd w:val="clear" w:color="auto" w:fill="auto"/>
          </w:tcPr>
          <w:p w:rsidR="0097661D" w:rsidRPr="00D958FA" w:rsidRDefault="0097661D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 w:rsidRPr="00D958FA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чел./%</w:t>
            </w:r>
          </w:p>
        </w:tc>
      </w:tr>
      <w:tr w:rsidR="0097661D" w:rsidRPr="0041458B" w:rsidTr="005C6CA9">
        <w:trPr>
          <w:trHeight w:hRule="exact" w:val="288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1.8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Доля учащихся с использованием дистанционных образовательных технологий</w:t>
            </w:r>
          </w:p>
        </w:tc>
        <w:tc>
          <w:tcPr>
            <w:tcW w:w="443" w:type="pct"/>
            <w:shd w:val="clear" w:color="auto" w:fill="auto"/>
          </w:tcPr>
          <w:p w:rsidR="0097661D" w:rsidRPr="00D958FA" w:rsidRDefault="00851E3F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3 </w:t>
            </w:r>
            <w:r w:rsidR="0097661D" w:rsidRPr="00D958FA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чел./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0,9</w:t>
            </w:r>
            <w:r w:rsidR="0097661D" w:rsidRPr="00D958FA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B34B99" w:rsidRPr="0041458B" w:rsidTr="005C6CA9">
        <w:trPr>
          <w:trHeight w:hRule="exact" w:val="485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34B99" w:rsidRPr="0041458B" w:rsidRDefault="00B34B99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458B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  <w:u w:val="single"/>
                <w:shd w:val="clear" w:color="auto" w:fill="FFFFFF"/>
              </w:rPr>
              <w:t>2. Образовательные результаты учащихся</w:t>
            </w:r>
          </w:p>
        </w:tc>
      </w:tr>
      <w:tr w:rsidR="0097661D" w:rsidRPr="0041458B" w:rsidTr="005C6CA9">
        <w:trPr>
          <w:trHeight w:hRule="exact" w:val="288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2.1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Результаты промежуточной аттестации за учебный год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661D" w:rsidRPr="0041458B" w:rsidTr="005C6CA9">
        <w:trPr>
          <w:trHeight w:hRule="exact" w:val="288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2.1.1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Общая успеваемость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8431CD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79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97661D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8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2.1.2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учащихся, успевающих на «4» и «5»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8431CD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56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</w:p>
        </w:tc>
      </w:tr>
      <w:tr w:rsidR="0097661D" w:rsidRPr="0041458B" w:rsidTr="005C6CA9">
        <w:trPr>
          <w:trHeight w:hRule="exact" w:val="288"/>
        </w:trPr>
        <w:tc>
          <w:tcPr>
            <w:tcW w:w="257" w:type="pct"/>
            <w:shd w:val="clear" w:color="auto" w:fill="FFFFFF"/>
            <w:vAlign w:val="center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proofErr w:type="gramStart"/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Показатели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Единица</w:t>
            </w:r>
          </w:p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измерения</w:t>
            </w:r>
          </w:p>
        </w:tc>
      </w:tr>
      <w:tr w:rsidR="0097661D" w:rsidRPr="0041458B" w:rsidTr="005C6CA9">
        <w:trPr>
          <w:trHeight w:hRule="exact" w:val="288"/>
        </w:trPr>
        <w:tc>
          <w:tcPr>
            <w:tcW w:w="257" w:type="pct"/>
            <w:shd w:val="clear" w:color="auto" w:fill="FFFFFF"/>
            <w:vAlign w:val="center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В</w:t>
            </w:r>
          </w:p>
        </w:tc>
      </w:tr>
      <w:tr w:rsidR="0097661D" w:rsidRPr="0041458B" w:rsidTr="005C6CA9">
        <w:trPr>
          <w:trHeight w:hRule="exact" w:val="288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Результаты государственной итоговой аттестации по обязател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ьным предметам: средний балл ГИА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661D" w:rsidRPr="0041458B" w:rsidTr="005C6CA9">
        <w:trPr>
          <w:trHeight w:hRule="exact" w:val="288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2.2.1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10 класс (русский язык)</w:t>
            </w:r>
            <w:r w:rsid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ГВЭ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C83CB2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4,3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97661D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балл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а</w:t>
            </w:r>
          </w:p>
        </w:tc>
      </w:tr>
      <w:tr w:rsidR="0097661D" w:rsidRPr="0041458B" w:rsidTr="005C6CA9">
        <w:trPr>
          <w:trHeight w:hRule="exact" w:val="28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2.2.2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10 класс (математика)</w:t>
            </w:r>
            <w:r w:rsid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ГВЭ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C83CB2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</w:t>
            </w:r>
            <w:r w:rsidR="008431CD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,8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97661D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балл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2.2.3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8B58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12 класс (русский язык)</w:t>
            </w:r>
            <w:r w:rsid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ГВЭ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C83CB2" w:rsidP="00C83CB2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</w:t>
            </w:r>
          </w:p>
        </w:tc>
      </w:tr>
      <w:tr w:rsidR="00D65A1C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D65A1C" w:rsidRPr="0041458B" w:rsidRDefault="00D65A1C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2.2.4</w:t>
            </w:r>
          </w:p>
        </w:tc>
        <w:tc>
          <w:tcPr>
            <w:tcW w:w="4300" w:type="pct"/>
            <w:shd w:val="clear" w:color="auto" w:fill="FFFFFF"/>
          </w:tcPr>
          <w:p w:rsidR="00D65A1C" w:rsidRPr="0041458B" w:rsidRDefault="00D65A1C" w:rsidP="008B58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12 класс (русский язык)</w:t>
            </w:r>
            <w:r w:rsid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ЕГЭ</w:t>
            </w:r>
          </w:p>
        </w:tc>
        <w:tc>
          <w:tcPr>
            <w:tcW w:w="443" w:type="pct"/>
            <w:shd w:val="clear" w:color="auto" w:fill="FFFFFF"/>
          </w:tcPr>
          <w:p w:rsidR="00D65A1C" w:rsidRPr="0041458B" w:rsidRDefault="00C83CB2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71,4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балла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D65A1C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2.2.5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12 класс (математика)</w:t>
            </w:r>
            <w:r w:rsid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D65A1C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ГВЭ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C83CB2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</w:t>
            </w:r>
            <w:bookmarkStart w:id="0" w:name="_GoBack"/>
            <w:bookmarkEnd w:id="0"/>
          </w:p>
        </w:tc>
      </w:tr>
      <w:tr w:rsidR="0097661D" w:rsidRPr="0041458B" w:rsidTr="005C6CA9">
        <w:trPr>
          <w:trHeight w:hRule="exact" w:val="575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2.3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widowControl w:val="0"/>
              <w:shd w:val="clear" w:color="auto" w:fill="FFFFFF"/>
              <w:spacing w:before="360"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2.3.1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10 класс (русский язык)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D65A1C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0 </w:t>
            </w:r>
            <w:r w:rsidR="0097661D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чел.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lastRenderedPageBreak/>
              <w:t>2.3.2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10 класс (математика)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D65A1C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0 чел.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2.3.3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12 класс (русский язык)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D65A1C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0 чел.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2.3.4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12 класс (математика)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D65A1C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0 чел.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2.4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widowControl w:val="0"/>
              <w:shd w:val="clear" w:color="auto" w:fill="FFFFFF"/>
              <w:spacing w:before="360"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2.4.1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10 класс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D65A1C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0 чел.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2.4.2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12 класс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D65A1C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0 чел.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выпускников-медалистов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D65A1C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0 чел.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2.6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Результаты участия учащихся в олимпиадах, смотрах, конкурсах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widowControl w:val="0"/>
              <w:shd w:val="clear" w:color="auto" w:fill="FFFFFF"/>
              <w:spacing w:before="360"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85C41" w:rsidRPr="00685C41" w:rsidTr="005C6CA9">
        <w:trPr>
          <w:trHeight w:hRule="exact" w:val="437"/>
        </w:trPr>
        <w:tc>
          <w:tcPr>
            <w:tcW w:w="257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2.6.1</w:t>
            </w:r>
          </w:p>
        </w:tc>
        <w:tc>
          <w:tcPr>
            <w:tcW w:w="4300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Количество/доля учащихся, принявших участие в различных олимпиадах, смотрах, конкурсах</w:t>
            </w:r>
          </w:p>
        </w:tc>
        <w:tc>
          <w:tcPr>
            <w:tcW w:w="443" w:type="pct"/>
            <w:shd w:val="clear" w:color="auto" w:fill="FFFFFF"/>
          </w:tcPr>
          <w:p w:rsidR="0097661D" w:rsidRPr="00685C41" w:rsidRDefault="00685C41" w:rsidP="00685C41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275</w:t>
            </w:r>
            <w:r w:rsidR="00D65A1C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F7518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/</w:t>
            </w: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86</w:t>
            </w:r>
            <w:r w:rsidR="00FF7518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685C41" w:rsidRPr="00685C41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2.6.2</w:t>
            </w:r>
          </w:p>
        </w:tc>
        <w:tc>
          <w:tcPr>
            <w:tcW w:w="4300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Количество/доля учащихся-победителей и призеров олимпиад, смотров, конкурсов, из них:</w:t>
            </w:r>
          </w:p>
        </w:tc>
        <w:tc>
          <w:tcPr>
            <w:tcW w:w="443" w:type="pct"/>
            <w:shd w:val="clear" w:color="auto" w:fill="FFFFFF"/>
          </w:tcPr>
          <w:p w:rsidR="0097661D" w:rsidRPr="00685C41" w:rsidRDefault="00685C41" w:rsidP="00685C41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54</w:t>
            </w:r>
            <w:r w:rsidR="00FF7518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/1</w:t>
            </w: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7</w:t>
            </w:r>
            <w:r w:rsidR="00FF7518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685C41" w:rsidRPr="00685C41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hd w:val="clear" w:color="auto" w:fill="FFFFFF"/>
              <w:spacing w:before="360"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0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регионального уровня</w:t>
            </w:r>
            <w:r w:rsidR="0041458B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              </w:t>
            </w:r>
            <w:r w:rsidR="00D65A1C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" w:type="pct"/>
            <w:shd w:val="clear" w:color="auto" w:fill="FFFFFF"/>
          </w:tcPr>
          <w:p w:rsidR="0097661D" w:rsidRPr="00685C41" w:rsidRDefault="00685C41" w:rsidP="00685C41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25</w:t>
            </w:r>
            <w:r w:rsidR="00FF7518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/</w:t>
            </w: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46</w:t>
            </w:r>
            <w:r w:rsidR="00FF7518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685C41" w:rsidRPr="00685C41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hd w:val="clear" w:color="auto" w:fill="FFFFFF"/>
              <w:spacing w:before="360"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0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федерального уровня</w:t>
            </w:r>
            <w:r w:rsidR="0041458B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               </w:t>
            </w:r>
          </w:p>
        </w:tc>
        <w:tc>
          <w:tcPr>
            <w:tcW w:w="443" w:type="pct"/>
            <w:shd w:val="clear" w:color="auto" w:fill="FFFFFF"/>
          </w:tcPr>
          <w:p w:rsidR="0097661D" w:rsidRPr="00685C41" w:rsidRDefault="0097661D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85C41" w:rsidRPr="00685C41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hd w:val="clear" w:color="auto" w:fill="FFFFFF"/>
              <w:spacing w:before="360"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0" w:type="pct"/>
            <w:shd w:val="clear" w:color="auto" w:fill="FFFFFF"/>
          </w:tcPr>
          <w:p w:rsidR="0097661D" w:rsidRPr="00685C41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международного уровня</w:t>
            </w:r>
            <w:r w:rsidR="0041458B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          </w:t>
            </w:r>
          </w:p>
        </w:tc>
        <w:tc>
          <w:tcPr>
            <w:tcW w:w="443" w:type="pct"/>
            <w:shd w:val="clear" w:color="auto" w:fill="FFFFFF"/>
          </w:tcPr>
          <w:p w:rsidR="0097661D" w:rsidRPr="00685C41" w:rsidRDefault="00685C41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5/9</w:t>
            </w:r>
            <w:r w:rsidR="00FF7518" w:rsidRPr="00685C41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B34B99" w:rsidRPr="0041458B" w:rsidTr="005C6CA9">
        <w:trPr>
          <w:trHeight w:hRule="exact" w:val="415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34B99" w:rsidRPr="00E908E3" w:rsidRDefault="00B34B99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u w:val="single"/>
                <w:shd w:val="clear" w:color="auto" w:fill="FFFFFF"/>
              </w:rPr>
              <w:t>3. Кадровое обеспечение учебного процесса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3.1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Общая численность педагогических работников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A4DE8" w:rsidP="00FA5696">
            <w:pPr>
              <w:widowControl w:val="0"/>
              <w:spacing w:after="0" w:line="240" w:lineRule="auto"/>
              <w:ind w:left="195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151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97661D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чел.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8431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12</w:t>
            </w:r>
            <w:r w:rsidR="008431CD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</w:t>
            </w: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</w:t>
            </w:r>
            <w:r w:rsidR="008431CD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82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3.2.1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Непедагогическое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8431CD" w:rsidP="008431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26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/2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8431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</w:t>
            </w:r>
            <w:r w:rsidR="008431CD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7</w:t>
            </w: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</w:t>
            </w:r>
            <w:r w:rsidR="008431CD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11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3.3.1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Непедагогическое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8431CD" w:rsidP="008431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10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59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8431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7</w:t>
            </w:r>
            <w:r w:rsidR="008431CD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9</w:t>
            </w: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/5</w:t>
            </w:r>
            <w:r w:rsidR="008431CD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344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3.4.1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8431CD" w:rsidP="008431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47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59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3.4.2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Первая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8431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30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/3</w:t>
            </w:r>
            <w:r w:rsidR="008431CD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8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3.5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widowControl w:val="0"/>
              <w:shd w:val="clear" w:color="auto" w:fill="FFFFFF"/>
              <w:spacing w:before="360"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  <w:vAlign w:val="center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proofErr w:type="gramStart"/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97661D" w:rsidRPr="00E908E3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Показатели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Единица</w:t>
            </w:r>
          </w:p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измерения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  <w:vAlign w:val="center"/>
          </w:tcPr>
          <w:p w:rsidR="0097661D" w:rsidRPr="0041458B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97661D" w:rsidRPr="00E908E3" w:rsidRDefault="0097661D" w:rsidP="00A0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В</w:t>
            </w:r>
          </w:p>
        </w:tc>
      </w:tr>
      <w:tr w:rsidR="0097661D" w:rsidRPr="0041458B" w:rsidTr="005C6CA9">
        <w:trPr>
          <w:trHeight w:hRule="exact" w:val="581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3.5.1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до 5 лет,</w:t>
            </w:r>
          </w:p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в том числе молодых специалистов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3837D7" w:rsidP="003837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43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97661D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8</w:t>
            </w:r>
            <w:r w:rsidR="0097661D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3.5.2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свыше 30 лет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3837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</w:t>
            </w:r>
            <w:r w:rsidR="003837D7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9</w:t>
            </w: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/1</w:t>
            </w:r>
            <w:r w:rsidR="003837D7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9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3.6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педагогических</w:t>
            </w:r>
            <w:r w:rsidR="00FA5696"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работников в возрасте до 30 лет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3837D7" w:rsidP="003837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39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/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26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3.7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педагогических работников в возрасте от 55 лет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3837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</w:t>
            </w:r>
            <w:r w:rsidR="003837D7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</w:t>
            </w: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/2</w:t>
            </w:r>
            <w:r w:rsidR="003837D7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7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796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3.8</w:t>
            </w:r>
          </w:p>
        </w:tc>
        <w:tc>
          <w:tcPr>
            <w:tcW w:w="4300" w:type="pct"/>
            <w:shd w:val="clear" w:color="auto" w:fill="FFFFFF"/>
          </w:tcPr>
          <w:p w:rsidR="0097661D" w:rsidRPr="00E908E3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proofErr w:type="gramStart"/>
            <w:r w:rsidRP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443" w:type="pct"/>
            <w:shd w:val="clear" w:color="auto" w:fill="FFFFFF"/>
          </w:tcPr>
          <w:p w:rsidR="0097661D" w:rsidRPr="0041458B" w:rsidRDefault="003837D7" w:rsidP="003837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114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75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3.9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3837D7" w:rsidP="003837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108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чел.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72</w:t>
            </w:r>
            <w:r w:rsidR="00FA5696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Инфраструктура общеобразовательной организации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widowControl w:val="0"/>
              <w:shd w:val="clear" w:color="auto" w:fill="FFFFFF"/>
              <w:spacing w:before="360"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4.1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FA5696" w:rsidP="00FA56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</w:t>
            </w:r>
            <w:r w:rsidR="00EA61AF"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0,07 единиц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4.2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4841 единиц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4.3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97661D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4.4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Наличие читального зала библиотеки, в том числе: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4.4.1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4.4.2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медиатекой</w:t>
            </w:r>
            <w:proofErr w:type="spellEnd"/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4.4.3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оснащенного средствами сканирования и распознавания текстов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4.4.4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4.4.5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с контролируемой распечаткой бумажных материалов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41458B">
            <w:pPr>
              <w:widowControl w:val="0"/>
              <w:spacing w:after="0" w:line="240" w:lineRule="auto"/>
              <w:ind w:left="195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97661D" w:rsidRPr="0041458B" w:rsidTr="005C6CA9">
        <w:trPr>
          <w:trHeight w:hRule="exact" w:val="293"/>
        </w:trPr>
        <w:tc>
          <w:tcPr>
            <w:tcW w:w="257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4.5</w:t>
            </w:r>
          </w:p>
        </w:tc>
        <w:tc>
          <w:tcPr>
            <w:tcW w:w="4300" w:type="pct"/>
            <w:shd w:val="clear" w:color="auto" w:fill="FFFFFF"/>
          </w:tcPr>
          <w:p w:rsidR="0097661D" w:rsidRPr="0041458B" w:rsidRDefault="0097661D" w:rsidP="00A068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443" w:type="pct"/>
            <w:shd w:val="clear" w:color="auto" w:fill="FFFFFF"/>
          </w:tcPr>
          <w:p w:rsidR="0097661D" w:rsidRPr="0041458B" w:rsidRDefault="00EA61AF" w:rsidP="00E90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41458B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120 чел.</w:t>
            </w:r>
            <w:r w:rsidR="00E908E3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/39%</w:t>
            </w:r>
          </w:p>
        </w:tc>
      </w:tr>
    </w:tbl>
    <w:p w:rsidR="0097661D" w:rsidRPr="0045378D" w:rsidRDefault="0097661D" w:rsidP="00CE51B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661D" w:rsidRPr="0045378D" w:rsidRDefault="0097661D">
      <w:pPr>
        <w:rPr>
          <w:rFonts w:ascii="Times New Roman" w:hAnsi="Times New Roman"/>
        </w:rPr>
      </w:pPr>
    </w:p>
    <w:sectPr w:rsidR="0097661D" w:rsidRPr="0045378D" w:rsidSect="005C6CA9">
      <w:footerReference w:type="default" r:id="rId9"/>
      <w:pgSz w:w="11906" w:h="16838"/>
      <w:pgMar w:top="851" w:right="851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9A" w:rsidRDefault="0061339A">
      <w:pPr>
        <w:spacing w:after="0" w:line="240" w:lineRule="auto"/>
      </w:pPr>
      <w:r>
        <w:separator/>
      </w:r>
    </w:p>
  </w:endnote>
  <w:endnote w:type="continuationSeparator" w:id="0">
    <w:p w:rsidR="0061339A" w:rsidRDefault="0061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1D" w:rsidRDefault="008106A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83CB2">
      <w:rPr>
        <w:noProof/>
      </w:rPr>
      <w:t>6</w:t>
    </w:r>
    <w:r>
      <w:rPr>
        <w:noProof/>
      </w:rPr>
      <w:fldChar w:fldCharType="end"/>
    </w:r>
  </w:p>
  <w:p w:rsidR="0097661D" w:rsidRDefault="009766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9A" w:rsidRDefault="0061339A">
      <w:pPr>
        <w:spacing w:after="0" w:line="240" w:lineRule="auto"/>
      </w:pPr>
      <w:r>
        <w:separator/>
      </w:r>
    </w:p>
  </w:footnote>
  <w:footnote w:type="continuationSeparator" w:id="0">
    <w:p w:rsidR="0061339A" w:rsidRDefault="0061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C0"/>
    <w:multiLevelType w:val="hybridMultilevel"/>
    <w:tmpl w:val="0B262A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1477D0"/>
    <w:multiLevelType w:val="hybridMultilevel"/>
    <w:tmpl w:val="88E8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7CF"/>
    <w:multiLevelType w:val="hybridMultilevel"/>
    <w:tmpl w:val="AAA63B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010E9B"/>
    <w:multiLevelType w:val="hybridMultilevel"/>
    <w:tmpl w:val="0A9C68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AC310A"/>
    <w:multiLevelType w:val="multilevel"/>
    <w:tmpl w:val="9E9AF5F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C7E5DFC"/>
    <w:multiLevelType w:val="hybridMultilevel"/>
    <w:tmpl w:val="BE4602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181990"/>
    <w:multiLevelType w:val="hybridMultilevel"/>
    <w:tmpl w:val="C8201D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FF756F"/>
    <w:multiLevelType w:val="hybridMultilevel"/>
    <w:tmpl w:val="DE04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C404F"/>
    <w:multiLevelType w:val="hybridMultilevel"/>
    <w:tmpl w:val="909E85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EB45EF"/>
    <w:multiLevelType w:val="hybridMultilevel"/>
    <w:tmpl w:val="458C88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BE4DC8"/>
    <w:multiLevelType w:val="hybridMultilevel"/>
    <w:tmpl w:val="51EAF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99205F5"/>
    <w:multiLevelType w:val="hybridMultilevel"/>
    <w:tmpl w:val="8138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87337"/>
    <w:multiLevelType w:val="hybridMultilevel"/>
    <w:tmpl w:val="01C2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FF0E52"/>
    <w:multiLevelType w:val="hybridMultilevel"/>
    <w:tmpl w:val="39C49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95693D"/>
    <w:multiLevelType w:val="hybridMultilevel"/>
    <w:tmpl w:val="0846CA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361707"/>
    <w:multiLevelType w:val="hybridMultilevel"/>
    <w:tmpl w:val="5A3C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5370C"/>
    <w:multiLevelType w:val="hybridMultilevel"/>
    <w:tmpl w:val="F20414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8106C6D"/>
    <w:multiLevelType w:val="hybridMultilevel"/>
    <w:tmpl w:val="D102D0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383291"/>
    <w:multiLevelType w:val="hybridMultilevel"/>
    <w:tmpl w:val="2E0E54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CB104C4"/>
    <w:multiLevelType w:val="hybridMultilevel"/>
    <w:tmpl w:val="F56254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9267D76"/>
    <w:multiLevelType w:val="hybridMultilevel"/>
    <w:tmpl w:val="B6A8E5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A5B55A7"/>
    <w:multiLevelType w:val="multilevel"/>
    <w:tmpl w:val="96A477C2"/>
    <w:lvl w:ilvl="0">
      <w:start w:val="10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3">
    <w:nsid w:val="5B4D5DE2"/>
    <w:multiLevelType w:val="hybridMultilevel"/>
    <w:tmpl w:val="E9F4B8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C43726"/>
    <w:multiLevelType w:val="multilevel"/>
    <w:tmpl w:val="87EE54F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CAA2D7D"/>
    <w:multiLevelType w:val="hybridMultilevel"/>
    <w:tmpl w:val="629C91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31A2136"/>
    <w:multiLevelType w:val="hybridMultilevel"/>
    <w:tmpl w:val="A4CCC7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7707BD"/>
    <w:multiLevelType w:val="hybridMultilevel"/>
    <w:tmpl w:val="0B6230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44E3EE9"/>
    <w:multiLevelType w:val="hybridMultilevel"/>
    <w:tmpl w:val="73C854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8223811"/>
    <w:multiLevelType w:val="hybridMultilevel"/>
    <w:tmpl w:val="4C50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B14306C"/>
    <w:multiLevelType w:val="hybridMultilevel"/>
    <w:tmpl w:val="9F1C71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B4D3842"/>
    <w:multiLevelType w:val="hybridMultilevel"/>
    <w:tmpl w:val="FC86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6028A"/>
    <w:multiLevelType w:val="hybridMultilevel"/>
    <w:tmpl w:val="401A7E9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>
    <w:nsid w:val="70DB5234"/>
    <w:multiLevelType w:val="multilevel"/>
    <w:tmpl w:val="6D2221B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1462F"/>
    <w:multiLevelType w:val="hybridMultilevel"/>
    <w:tmpl w:val="7C1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F51DC"/>
    <w:multiLevelType w:val="hybridMultilevel"/>
    <w:tmpl w:val="4DEC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22"/>
  </w:num>
  <w:num w:numId="5">
    <w:abstractNumId w:val="14"/>
  </w:num>
  <w:num w:numId="6">
    <w:abstractNumId w:val="5"/>
  </w:num>
  <w:num w:numId="7">
    <w:abstractNumId w:val="0"/>
  </w:num>
  <w:num w:numId="8">
    <w:abstractNumId w:val="20"/>
  </w:num>
  <w:num w:numId="9">
    <w:abstractNumId w:val="8"/>
  </w:num>
  <w:num w:numId="10">
    <w:abstractNumId w:val="9"/>
  </w:num>
  <w:num w:numId="11">
    <w:abstractNumId w:val="7"/>
  </w:num>
  <w:num w:numId="12">
    <w:abstractNumId w:val="18"/>
  </w:num>
  <w:num w:numId="13">
    <w:abstractNumId w:val="26"/>
  </w:num>
  <w:num w:numId="14">
    <w:abstractNumId w:val="3"/>
  </w:num>
  <w:num w:numId="15">
    <w:abstractNumId w:val="15"/>
  </w:num>
  <w:num w:numId="16">
    <w:abstractNumId w:val="19"/>
  </w:num>
  <w:num w:numId="17">
    <w:abstractNumId w:val="27"/>
  </w:num>
  <w:num w:numId="18">
    <w:abstractNumId w:val="10"/>
  </w:num>
  <w:num w:numId="19">
    <w:abstractNumId w:val="6"/>
  </w:num>
  <w:num w:numId="20">
    <w:abstractNumId w:val="32"/>
  </w:num>
  <w:num w:numId="21">
    <w:abstractNumId w:val="37"/>
  </w:num>
  <w:num w:numId="22">
    <w:abstractNumId w:val="16"/>
  </w:num>
  <w:num w:numId="23">
    <w:abstractNumId w:val="36"/>
  </w:num>
  <w:num w:numId="24">
    <w:abstractNumId w:val="11"/>
  </w:num>
  <w:num w:numId="25">
    <w:abstractNumId w:val="33"/>
  </w:num>
  <w:num w:numId="26">
    <w:abstractNumId w:val="29"/>
  </w:num>
  <w:num w:numId="27">
    <w:abstractNumId w:val="1"/>
  </w:num>
  <w:num w:numId="28">
    <w:abstractNumId w:val="28"/>
  </w:num>
  <w:num w:numId="29">
    <w:abstractNumId w:val="21"/>
  </w:num>
  <w:num w:numId="30">
    <w:abstractNumId w:val="35"/>
  </w:num>
  <w:num w:numId="31">
    <w:abstractNumId w:val="30"/>
  </w:num>
  <w:num w:numId="32">
    <w:abstractNumId w:val="13"/>
  </w:num>
  <w:num w:numId="33">
    <w:abstractNumId w:val="2"/>
  </w:num>
  <w:num w:numId="34">
    <w:abstractNumId w:val="25"/>
  </w:num>
  <w:num w:numId="35">
    <w:abstractNumId w:val="23"/>
  </w:num>
  <w:num w:numId="36">
    <w:abstractNumId w:val="31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06"/>
    <w:rsid w:val="00060C16"/>
    <w:rsid w:val="000678DD"/>
    <w:rsid w:val="000A48F7"/>
    <w:rsid w:val="000D1806"/>
    <w:rsid w:val="001918EF"/>
    <w:rsid w:val="001B2084"/>
    <w:rsid w:val="001F040E"/>
    <w:rsid w:val="00244225"/>
    <w:rsid w:val="00244F7E"/>
    <w:rsid w:val="002B2A0C"/>
    <w:rsid w:val="002E0930"/>
    <w:rsid w:val="002F42E6"/>
    <w:rsid w:val="00305AD2"/>
    <w:rsid w:val="003513BC"/>
    <w:rsid w:val="003837D7"/>
    <w:rsid w:val="00394069"/>
    <w:rsid w:val="003A60DB"/>
    <w:rsid w:val="003B505A"/>
    <w:rsid w:val="003D31E6"/>
    <w:rsid w:val="003F2BE6"/>
    <w:rsid w:val="0041458B"/>
    <w:rsid w:val="00431AF2"/>
    <w:rsid w:val="0045378D"/>
    <w:rsid w:val="005131B7"/>
    <w:rsid w:val="005C6CA9"/>
    <w:rsid w:val="006109D5"/>
    <w:rsid w:val="0061339A"/>
    <w:rsid w:val="00644A0C"/>
    <w:rsid w:val="00685C41"/>
    <w:rsid w:val="006A4D04"/>
    <w:rsid w:val="006C4C36"/>
    <w:rsid w:val="006E7259"/>
    <w:rsid w:val="0073606B"/>
    <w:rsid w:val="00764513"/>
    <w:rsid w:val="007A180E"/>
    <w:rsid w:val="007A6A6F"/>
    <w:rsid w:val="008106AD"/>
    <w:rsid w:val="008109DC"/>
    <w:rsid w:val="008431CD"/>
    <w:rsid w:val="00851E3F"/>
    <w:rsid w:val="00867F94"/>
    <w:rsid w:val="008A7A43"/>
    <w:rsid w:val="008B580A"/>
    <w:rsid w:val="00911E4D"/>
    <w:rsid w:val="00922070"/>
    <w:rsid w:val="0093761E"/>
    <w:rsid w:val="0097661D"/>
    <w:rsid w:val="009A0AC0"/>
    <w:rsid w:val="009A2765"/>
    <w:rsid w:val="009A4DE8"/>
    <w:rsid w:val="009B6772"/>
    <w:rsid w:val="009F10F6"/>
    <w:rsid w:val="00A04A42"/>
    <w:rsid w:val="00A06879"/>
    <w:rsid w:val="00AD5C49"/>
    <w:rsid w:val="00B34B99"/>
    <w:rsid w:val="00BB455F"/>
    <w:rsid w:val="00BD3942"/>
    <w:rsid w:val="00C06A32"/>
    <w:rsid w:val="00C2423C"/>
    <w:rsid w:val="00C66AD6"/>
    <w:rsid w:val="00C83CB2"/>
    <w:rsid w:val="00CC6F3D"/>
    <w:rsid w:val="00CE51BD"/>
    <w:rsid w:val="00D01FB7"/>
    <w:rsid w:val="00D030CF"/>
    <w:rsid w:val="00D61F5E"/>
    <w:rsid w:val="00D65A1C"/>
    <w:rsid w:val="00D958FA"/>
    <w:rsid w:val="00E166DF"/>
    <w:rsid w:val="00E33AFC"/>
    <w:rsid w:val="00E908E3"/>
    <w:rsid w:val="00EA61AF"/>
    <w:rsid w:val="00EF729F"/>
    <w:rsid w:val="00F42D47"/>
    <w:rsid w:val="00F902B5"/>
    <w:rsid w:val="00FA5696"/>
    <w:rsid w:val="00FF11E6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D"/>
    <w:pPr>
      <w:spacing w:after="200" w:line="276" w:lineRule="auto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uiPriority w:val="99"/>
    <w:qFormat/>
    <w:rsid w:val="00CE5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E51BD"/>
    <w:pPr>
      <w:keepNext/>
      <w:numPr>
        <w:numId w:val="3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1B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E51BD"/>
    <w:rPr>
      <w:rFonts w:eastAsia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CE51B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E51BD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51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CE51BD"/>
    <w:rPr>
      <w:rFonts w:cs="Times New Roman"/>
      <w:b/>
    </w:rPr>
  </w:style>
  <w:style w:type="paragraph" w:styleId="a6">
    <w:name w:val="List Paragraph"/>
    <w:basedOn w:val="a"/>
    <w:uiPriority w:val="99"/>
    <w:qFormat/>
    <w:rsid w:val="00CE51BD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51BD"/>
    <w:rPr>
      <w:rFonts w:ascii="Calibri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CE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51BD"/>
    <w:rPr>
      <w:rFonts w:ascii="Calibri" w:hAnsi="Calibri" w:cs="Times New Roman"/>
      <w:sz w:val="22"/>
      <w:szCs w:val="22"/>
      <w:lang w:eastAsia="ru-RU"/>
    </w:rPr>
  </w:style>
  <w:style w:type="character" w:customStyle="1" w:styleId="ab">
    <w:name w:val="Основной текст_"/>
    <w:link w:val="11"/>
    <w:uiPriority w:val="99"/>
    <w:locked/>
    <w:rsid w:val="008B580A"/>
    <w:rPr>
      <w:rFonts w:eastAsia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8B580A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3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0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D"/>
    <w:pPr>
      <w:spacing w:after="200" w:line="276" w:lineRule="auto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uiPriority w:val="99"/>
    <w:qFormat/>
    <w:rsid w:val="00CE5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E51BD"/>
    <w:pPr>
      <w:keepNext/>
      <w:numPr>
        <w:numId w:val="3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1B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E51BD"/>
    <w:rPr>
      <w:rFonts w:eastAsia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CE51B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E51BD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51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CE51BD"/>
    <w:rPr>
      <w:rFonts w:cs="Times New Roman"/>
      <w:b/>
    </w:rPr>
  </w:style>
  <w:style w:type="paragraph" w:styleId="a6">
    <w:name w:val="List Paragraph"/>
    <w:basedOn w:val="a"/>
    <w:uiPriority w:val="99"/>
    <w:qFormat/>
    <w:rsid w:val="00CE51BD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51BD"/>
    <w:rPr>
      <w:rFonts w:ascii="Calibri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CE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51BD"/>
    <w:rPr>
      <w:rFonts w:ascii="Calibri" w:hAnsi="Calibri" w:cs="Times New Roman"/>
      <w:sz w:val="22"/>
      <w:szCs w:val="22"/>
      <w:lang w:eastAsia="ru-RU"/>
    </w:rPr>
  </w:style>
  <w:style w:type="character" w:customStyle="1" w:styleId="ab">
    <w:name w:val="Основной текст_"/>
    <w:link w:val="11"/>
    <w:uiPriority w:val="99"/>
    <w:locked/>
    <w:rsid w:val="008B580A"/>
    <w:rPr>
      <w:rFonts w:eastAsia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8B580A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3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0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A16B-D602-4C3B-85E4-EDD4ABB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Наталья Юрьевна</dc:creator>
  <cp:lastModifiedBy>Щербакова Александра Сергеевна</cp:lastModifiedBy>
  <cp:revision>14</cp:revision>
  <cp:lastPrinted>2014-04-21T06:25:00Z</cp:lastPrinted>
  <dcterms:created xsi:type="dcterms:W3CDTF">2015-05-12T08:48:00Z</dcterms:created>
  <dcterms:modified xsi:type="dcterms:W3CDTF">2015-09-10T08:18:00Z</dcterms:modified>
</cp:coreProperties>
</file>